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526CD774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BIOLAB/FEWM.01.02-02/2024/1.</w:t>
      </w:r>
      <w:r w:rsidR="00D077AD">
        <w:rPr>
          <w:rFonts w:cs="Arial"/>
          <w:b/>
          <w:sz w:val="28"/>
          <w:szCs w:val="28"/>
        </w:rPr>
        <w:t>1</w:t>
      </w:r>
      <w:r w:rsidR="004B1400">
        <w:rPr>
          <w:rFonts w:cs="Arial"/>
          <w:b/>
          <w:sz w:val="28"/>
          <w:szCs w:val="28"/>
        </w:rPr>
        <w:t>8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DA22A1F" w14:textId="77777777" w:rsidR="004B1400" w:rsidRPr="004B1400" w:rsidRDefault="004B1400" w:rsidP="004B1400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b/>
          <w:color w:val="000000"/>
        </w:rPr>
      </w:pPr>
      <w:r w:rsidRPr="004B1400">
        <w:rPr>
          <w:rFonts w:ascii="Calibri" w:eastAsia="Calibri" w:hAnsi="Calibri" w:cs="Calibri"/>
          <w:b/>
          <w:color w:val="000000"/>
        </w:rPr>
        <w:t>Podłoża mikrobiologiczne:</w:t>
      </w:r>
    </w:p>
    <w:p w14:paraId="4136A44B" w14:textId="77777777" w:rsidR="004B1400" w:rsidRPr="004B1400" w:rsidRDefault="004B1400" w:rsidP="004B1400">
      <w:pPr>
        <w:numPr>
          <w:ilvl w:val="0"/>
          <w:numId w:val="65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 xml:space="preserve">Half Fraser bulion kompletny – 2 opakowania </w:t>
      </w:r>
    </w:p>
    <w:p w14:paraId="684995D7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opakowanie 500 g</w:t>
      </w:r>
    </w:p>
    <w:p w14:paraId="6A06514A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do wzbogacania bakterii </w:t>
      </w:r>
      <w:proofErr w:type="spellStart"/>
      <w:r w:rsidRPr="004B1400">
        <w:rPr>
          <w:rFonts w:ascii="Calibri" w:eastAsia="Calibri" w:hAnsi="Calibri" w:cs="Calibri"/>
        </w:rPr>
        <w:t>Listeria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monocytogenes</w:t>
      </w:r>
      <w:proofErr w:type="spellEnd"/>
      <w:r w:rsidRPr="004B1400">
        <w:rPr>
          <w:rFonts w:ascii="Calibri" w:eastAsia="Calibri" w:hAnsi="Calibri" w:cs="Calibri"/>
        </w:rPr>
        <w:t xml:space="preserve"> i innych gatunków </w:t>
      </w:r>
      <w:proofErr w:type="spellStart"/>
      <w:r w:rsidRPr="004B1400">
        <w:rPr>
          <w:rFonts w:ascii="Calibri" w:eastAsia="Calibri" w:hAnsi="Calibri" w:cs="Calibri"/>
        </w:rPr>
        <w:t>Listeria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spp</w:t>
      </w:r>
      <w:proofErr w:type="spellEnd"/>
      <w:r w:rsidRPr="004B1400">
        <w:rPr>
          <w:rFonts w:ascii="Calibri" w:eastAsia="Calibri" w:hAnsi="Calibri" w:cs="Calibri"/>
        </w:rPr>
        <w:t>. w próbkach produktów spożywczych i próbkach środowiskowych</w:t>
      </w:r>
    </w:p>
    <w:p w14:paraId="0F696B36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podstawowy bulion do wzbogacenia zgodnie z ISO 11290-1</w:t>
      </w:r>
    </w:p>
    <w:p w14:paraId="5A42BC99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w składzie: </w:t>
      </w:r>
      <w:proofErr w:type="spellStart"/>
      <w:r w:rsidRPr="004B1400">
        <w:rPr>
          <w:rFonts w:ascii="Calibri" w:eastAsia="Calibri" w:hAnsi="Calibri" w:cs="Calibri"/>
        </w:rPr>
        <w:t>Nalidic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Acid</w:t>
      </w:r>
      <w:proofErr w:type="spellEnd"/>
      <w:r w:rsidRPr="004B1400">
        <w:rPr>
          <w:rFonts w:ascii="Calibri" w:eastAsia="Calibri" w:hAnsi="Calibri" w:cs="Calibri"/>
        </w:rPr>
        <w:t xml:space="preserve"> 10 mg, </w:t>
      </w:r>
      <w:proofErr w:type="spellStart"/>
      <w:r w:rsidRPr="004B1400">
        <w:rPr>
          <w:rFonts w:ascii="Calibri" w:eastAsia="Calibri" w:hAnsi="Calibri" w:cs="Calibri"/>
        </w:rPr>
        <w:t>Ferric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amonium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citrate</w:t>
      </w:r>
      <w:proofErr w:type="spellEnd"/>
      <w:r w:rsidRPr="004B1400">
        <w:rPr>
          <w:rFonts w:ascii="Calibri" w:eastAsia="Calibri" w:hAnsi="Calibri" w:cs="Calibri"/>
        </w:rPr>
        <w:t xml:space="preserve"> (III) 500 mg</w:t>
      </w:r>
    </w:p>
    <w:p w14:paraId="4D4A2C72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nie wymaga dodawania suplementów po sterylizacji</w:t>
      </w:r>
    </w:p>
    <w:p w14:paraId="3197FCB6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przechowywanie w 15-25°C</w:t>
      </w:r>
    </w:p>
    <w:p w14:paraId="2EC6B027" w14:textId="77777777" w:rsidR="004B1400" w:rsidRPr="004B1400" w:rsidRDefault="004B1400" w:rsidP="004B1400">
      <w:pPr>
        <w:spacing w:after="0" w:line="360" w:lineRule="auto"/>
        <w:ind w:left="360"/>
        <w:jc w:val="both"/>
        <w:rPr>
          <w:rFonts w:ascii="Calibri" w:eastAsia="Calibri" w:hAnsi="Calibri" w:cs="Calibri"/>
        </w:rPr>
      </w:pPr>
    </w:p>
    <w:p w14:paraId="1760A070" w14:textId="77777777" w:rsidR="004B1400" w:rsidRPr="004B1400" w:rsidRDefault="004B1400" w:rsidP="004B1400">
      <w:pPr>
        <w:numPr>
          <w:ilvl w:val="0"/>
          <w:numId w:val="65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 xml:space="preserve">Podłoże ALOA w proszku wraz z suplementami – 2 opakowania </w:t>
      </w:r>
    </w:p>
    <w:p w14:paraId="70F79B1D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opakowanie 500 g (plus suplementy w ilości dostosowanej do podłoża)</w:t>
      </w:r>
    </w:p>
    <w:p w14:paraId="66068ABD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przeznaczone do wykrywania bakterii </w:t>
      </w:r>
      <w:proofErr w:type="spellStart"/>
      <w:r w:rsidRPr="004B1400">
        <w:rPr>
          <w:rFonts w:ascii="Calibri" w:eastAsia="Calibri" w:hAnsi="Calibri" w:cs="Calibri"/>
        </w:rPr>
        <w:t>Listeria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spp</w:t>
      </w:r>
      <w:proofErr w:type="spellEnd"/>
      <w:r w:rsidRPr="004B1400">
        <w:rPr>
          <w:rFonts w:ascii="Calibri" w:eastAsia="Calibri" w:hAnsi="Calibri" w:cs="Calibri"/>
        </w:rPr>
        <w:t>. po etapie wzbogacania</w:t>
      </w:r>
    </w:p>
    <w:p w14:paraId="24056162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musi umożliwiać uzyskanie wyniku w czasie do 24 godzin od wzbogacenia</w:t>
      </w:r>
    </w:p>
    <w:p w14:paraId="7D75B594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posiadać certyfikowaną walidację NF </w:t>
      </w:r>
      <w:proofErr w:type="spellStart"/>
      <w:r w:rsidRPr="004B1400">
        <w:rPr>
          <w:rFonts w:ascii="Calibri" w:eastAsia="Calibri" w:hAnsi="Calibri" w:cs="Calibri"/>
        </w:rPr>
        <w:t>Validation</w:t>
      </w:r>
      <w:proofErr w:type="spellEnd"/>
      <w:r w:rsidRPr="004B1400">
        <w:rPr>
          <w:rFonts w:ascii="Calibri" w:eastAsia="Calibri" w:hAnsi="Calibri" w:cs="Calibri"/>
        </w:rPr>
        <w:t xml:space="preserve"> zgodną z normą ISO 16140</w:t>
      </w:r>
    </w:p>
    <w:p w14:paraId="27C3EBD3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skład podłoża zgodny z wymaganiami normy ISO 11290-1</w:t>
      </w:r>
    </w:p>
    <w:p w14:paraId="223AB746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podłoże powinno zawierać </w:t>
      </w:r>
      <w:proofErr w:type="spellStart"/>
      <w:r w:rsidRPr="004B1400">
        <w:rPr>
          <w:rFonts w:ascii="Calibri" w:eastAsia="Calibri" w:hAnsi="Calibri" w:cs="Calibri"/>
        </w:rPr>
        <w:t>fosfatydyloinozytol</w:t>
      </w:r>
      <w:proofErr w:type="spellEnd"/>
      <w:r w:rsidRPr="004B1400">
        <w:rPr>
          <w:rFonts w:ascii="Calibri" w:eastAsia="Calibri" w:hAnsi="Calibri" w:cs="Calibri"/>
        </w:rPr>
        <w:t xml:space="preserve">, którego rozkład powoduje powstawanie nieprzezroczystej aureoli wokół kolonii </w:t>
      </w:r>
      <w:proofErr w:type="spellStart"/>
      <w:r w:rsidRPr="004B1400">
        <w:rPr>
          <w:rFonts w:ascii="Calibri" w:eastAsia="Calibri" w:hAnsi="Calibri" w:cs="Calibri"/>
        </w:rPr>
        <w:t>Listeria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monocytogenes</w:t>
      </w:r>
      <w:proofErr w:type="spellEnd"/>
      <w:r w:rsidRPr="004B1400">
        <w:rPr>
          <w:rFonts w:ascii="Calibri" w:eastAsia="Calibri" w:hAnsi="Calibri" w:cs="Calibri"/>
        </w:rPr>
        <w:t xml:space="preserve"> po 24 godzinach inkubacji</w:t>
      </w:r>
    </w:p>
    <w:p w14:paraId="4195C60E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reakcja </w:t>
      </w:r>
      <w:proofErr w:type="spellStart"/>
      <w:r w:rsidRPr="004B1400">
        <w:rPr>
          <w:rFonts w:ascii="Calibri" w:eastAsia="Calibri" w:hAnsi="Calibri" w:cs="Calibri"/>
        </w:rPr>
        <w:t>chromogenna</w:t>
      </w:r>
      <w:proofErr w:type="spellEnd"/>
      <w:r w:rsidRPr="004B1400">
        <w:rPr>
          <w:rFonts w:ascii="Calibri" w:eastAsia="Calibri" w:hAnsi="Calibri" w:cs="Calibri"/>
        </w:rPr>
        <w:t xml:space="preserve"> powinna umożliwiać łatwy odczyt wyników – niebieskie kolonie charakterystyczne dla </w:t>
      </w:r>
      <w:proofErr w:type="spellStart"/>
      <w:r w:rsidRPr="004B1400">
        <w:rPr>
          <w:rFonts w:ascii="Calibri" w:eastAsia="Calibri" w:hAnsi="Calibri" w:cs="Calibri"/>
        </w:rPr>
        <w:t>Listeria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spp</w:t>
      </w:r>
      <w:proofErr w:type="spellEnd"/>
      <w:r w:rsidRPr="004B1400">
        <w:rPr>
          <w:rFonts w:ascii="Calibri" w:eastAsia="Calibri" w:hAnsi="Calibri" w:cs="Calibri"/>
        </w:rPr>
        <w:t>. na jasnym tle podłoża</w:t>
      </w:r>
    </w:p>
    <w:p w14:paraId="29DBE7D2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selektywność podłoża musi być zapewniona poprzez działanie chlorku litu, antybiotyków oraz substancji przeciwgrzybiczych</w:t>
      </w:r>
    </w:p>
    <w:p w14:paraId="745929DE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metoda powinna umożliwiać analizę przy użyciu jednej płytki agarowej na próbkę oraz stosowanie zarówno w standardowym protokole referencyjnym, jak i zatwierdzonym protokole skróconym (wynik w 24 h)</w:t>
      </w:r>
    </w:p>
    <w:p w14:paraId="1BA82DE6" w14:textId="77777777" w:rsidR="004B1400" w:rsidRPr="004B1400" w:rsidRDefault="004B1400" w:rsidP="004B1400">
      <w:pPr>
        <w:numPr>
          <w:ilvl w:val="0"/>
          <w:numId w:val="67"/>
        </w:numPr>
        <w:spacing w:after="0" w:line="360" w:lineRule="auto"/>
        <w:ind w:left="709" w:hanging="283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lastRenderedPageBreak/>
        <w:t xml:space="preserve">przechowywanie: proszek 15-25°C, suplement po otworzeniu do 7 dni w 2–8°C, przygotowane płytki do 14 dni w 2–8°C </w:t>
      </w:r>
    </w:p>
    <w:p w14:paraId="1DF59AF6" w14:textId="77777777" w:rsidR="004B1400" w:rsidRPr="004B1400" w:rsidRDefault="004B1400" w:rsidP="004B1400">
      <w:pPr>
        <w:spacing w:after="0" w:line="360" w:lineRule="auto"/>
        <w:ind w:left="360"/>
        <w:jc w:val="both"/>
        <w:rPr>
          <w:rFonts w:ascii="Calibri" w:eastAsia="Calibri" w:hAnsi="Calibri" w:cs="Calibri"/>
        </w:rPr>
      </w:pPr>
    </w:p>
    <w:p w14:paraId="72469100" w14:textId="77777777" w:rsidR="004B1400" w:rsidRPr="004B1400" w:rsidRDefault="004B1400" w:rsidP="004B1400">
      <w:pPr>
        <w:numPr>
          <w:ilvl w:val="0"/>
          <w:numId w:val="65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 xml:space="preserve">Podłoże </w:t>
      </w:r>
      <w:proofErr w:type="spellStart"/>
      <w:r w:rsidRPr="004B1400">
        <w:rPr>
          <w:rFonts w:ascii="Calibri" w:eastAsia="Calibri" w:hAnsi="Calibri" w:cs="Calibri"/>
          <w:b/>
          <w:bCs/>
        </w:rPr>
        <w:t>chromogenne</w:t>
      </w:r>
      <w:proofErr w:type="spellEnd"/>
      <w:r w:rsidRPr="004B1400">
        <w:rPr>
          <w:rFonts w:ascii="Calibri" w:eastAsia="Calibri" w:hAnsi="Calibri" w:cs="Calibri"/>
          <w:b/>
          <w:bCs/>
        </w:rPr>
        <w:t xml:space="preserve"> do wykrywania Salmonella </w:t>
      </w:r>
      <w:proofErr w:type="spellStart"/>
      <w:r w:rsidRPr="004B1400">
        <w:rPr>
          <w:rFonts w:ascii="Calibri" w:eastAsia="Calibri" w:hAnsi="Calibri" w:cs="Calibri"/>
          <w:b/>
          <w:bCs/>
        </w:rPr>
        <w:t>spp</w:t>
      </w:r>
      <w:proofErr w:type="spellEnd"/>
      <w:r w:rsidRPr="004B1400">
        <w:rPr>
          <w:rFonts w:ascii="Calibri" w:eastAsia="Calibri" w:hAnsi="Calibri" w:cs="Calibri"/>
          <w:b/>
          <w:bCs/>
        </w:rPr>
        <w:t>. – 20 opakowań</w:t>
      </w:r>
    </w:p>
    <w:p w14:paraId="1835B1B3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opakowanie 500 g</w:t>
      </w:r>
    </w:p>
    <w:p w14:paraId="5EEEEDE0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wykrywanie dwóch aktywności enzymatycznych (wykrywanie esterazy C8 oraz b-D-</w:t>
      </w:r>
      <w:proofErr w:type="spellStart"/>
      <w:r w:rsidRPr="004B1400">
        <w:rPr>
          <w:rFonts w:ascii="Calibri" w:eastAsia="Calibri" w:hAnsi="Calibri" w:cs="Calibri"/>
        </w:rPr>
        <w:t>glukozydazy</w:t>
      </w:r>
      <w:proofErr w:type="spellEnd"/>
      <w:r w:rsidRPr="004B1400">
        <w:rPr>
          <w:rFonts w:ascii="Calibri" w:eastAsia="Calibri" w:hAnsi="Calibri" w:cs="Calibri"/>
        </w:rPr>
        <w:t>)</w:t>
      </w:r>
    </w:p>
    <w:p w14:paraId="0F28A004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kolor kolonii Salmonella </w:t>
      </w:r>
      <w:proofErr w:type="spellStart"/>
      <w:r w:rsidRPr="004B1400">
        <w:rPr>
          <w:rFonts w:ascii="Calibri" w:eastAsia="Calibri" w:hAnsi="Calibri" w:cs="Calibri"/>
        </w:rPr>
        <w:t>spp</w:t>
      </w:r>
      <w:proofErr w:type="spellEnd"/>
      <w:r w:rsidRPr="004B1400">
        <w:rPr>
          <w:rFonts w:ascii="Calibri" w:eastAsia="Calibri" w:hAnsi="Calibri" w:cs="Calibri"/>
        </w:rPr>
        <w:t>.: karmazynowy (</w:t>
      </w:r>
      <w:proofErr w:type="spellStart"/>
      <w:r w:rsidRPr="004B1400">
        <w:rPr>
          <w:rFonts w:ascii="Calibri" w:eastAsia="Calibri" w:hAnsi="Calibri" w:cs="Calibri"/>
        </w:rPr>
        <w:t>magenta</w:t>
      </w:r>
      <w:proofErr w:type="spellEnd"/>
      <w:r w:rsidRPr="004B1400">
        <w:rPr>
          <w:rFonts w:ascii="Calibri" w:eastAsia="Calibri" w:hAnsi="Calibri" w:cs="Calibri"/>
        </w:rPr>
        <w:t>)</w:t>
      </w:r>
    </w:p>
    <w:p w14:paraId="248F73AD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aktywność β-</w:t>
      </w:r>
      <w:proofErr w:type="spellStart"/>
      <w:r w:rsidRPr="004B1400">
        <w:rPr>
          <w:rFonts w:ascii="Calibri" w:eastAsia="Calibri" w:hAnsi="Calibri" w:cs="Calibri"/>
        </w:rPr>
        <w:t>glukoronidazy</w:t>
      </w:r>
      <w:proofErr w:type="spellEnd"/>
      <w:r w:rsidRPr="004B1400">
        <w:rPr>
          <w:rFonts w:ascii="Calibri" w:eastAsia="Calibri" w:hAnsi="Calibri" w:cs="Calibri"/>
        </w:rPr>
        <w:t xml:space="preserve"> umożliwia odróżnienie kolonii Salmonella </w:t>
      </w:r>
      <w:proofErr w:type="spellStart"/>
      <w:r w:rsidRPr="004B1400">
        <w:rPr>
          <w:rFonts w:ascii="Calibri" w:eastAsia="Calibri" w:hAnsi="Calibri" w:cs="Calibri"/>
        </w:rPr>
        <w:t>spp</w:t>
      </w:r>
      <w:proofErr w:type="spellEnd"/>
      <w:r w:rsidRPr="004B1400">
        <w:rPr>
          <w:rFonts w:ascii="Calibri" w:eastAsia="Calibri" w:hAnsi="Calibri" w:cs="Calibri"/>
        </w:rPr>
        <w:t xml:space="preserve">. od innych </w:t>
      </w:r>
      <w:proofErr w:type="spellStart"/>
      <w:r w:rsidRPr="004B1400">
        <w:rPr>
          <w:rFonts w:ascii="Calibri" w:eastAsia="Calibri" w:hAnsi="Calibri" w:cs="Calibri"/>
        </w:rPr>
        <w:t>enterobakterii</w:t>
      </w:r>
      <w:proofErr w:type="spellEnd"/>
      <w:r w:rsidRPr="004B1400">
        <w:rPr>
          <w:rFonts w:ascii="Calibri" w:eastAsia="Calibri" w:hAnsi="Calibri" w:cs="Calibri"/>
        </w:rPr>
        <w:t xml:space="preserve"> (niebieskie lub bezbarwne)</w:t>
      </w:r>
    </w:p>
    <w:p w14:paraId="2E556C7F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podłoże umożliwia wykrywanie zarówno urzęsionych, jak i pozbawionych zdolności ruchu szczepów Salmonella, oraz szczepów </w:t>
      </w:r>
      <w:proofErr w:type="spellStart"/>
      <w:r w:rsidRPr="004B1400">
        <w:rPr>
          <w:rFonts w:ascii="Calibri" w:eastAsia="Calibri" w:hAnsi="Calibri" w:cs="Calibri"/>
        </w:rPr>
        <w:t>laktozododatnich</w:t>
      </w:r>
      <w:proofErr w:type="spellEnd"/>
      <w:r w:rsidRPr="004B1400">
        <w:rPr>
          <w:rFonts w:ascii="Calibri" w:eastAsia="Calibri" w:hAnsi="Calibri" w:cs="Calibri"/>
        </w:rPr>
        <w:t xml:space="preserve">, jak Salmonella </w:t>
      </w:r>
      <w:proofErr w:type="spellStart"/>
      <w:r w:rsidRPr="004B1400">
        <w:rPr>
          <w:rFonts w:ascii="Calibri" w:eastAsia="Calibri" w:hAnsi="Calibri" w:cs="Calibri"/>
        </w:rPr>
        <w:t>typhi</w:t>
      </w:r>
      <w:proofErr w:type="spellEnd"/>
      <w:r w:rsidRPr="004B1400">
        <w:rPr>
          <w:rFonts w:ascii="Calibri" w:eastAsia="Calibri" w:hAnsi="Calibri" w:cs="Calibri"/>
        </w:rPr>
        <w:t xml:space="preserve"> i Salmonella </w:t>
      </w:r>
      <w:proofErr w:type="spellStart"/>
      <w:r w:rsidRPr="004B1400">
        <w:rPr>
          <w:rFonts w:ascii="Calibri" w:eastAsia="Calibri" w:hAnsi="Calibri" w:cs="Calibri"/>
        </w:rPr>
        <w:t>paratyphi</w:t>
      </w:r>
      <w:proofErr w:type="spellEnd"/>
    </w:p>
    <w:p w14:paraId="1E3003E7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podłoże w postaci sypkiej kompletne</w:t>
      </w:r>
    </w:p>
    <w:p w14:paraId="33127E80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brak konieczności dodawania suplementów</w:t>
      </w:r>
    </w:p>
    <w:p w14:paraId="678BB636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skład podłoża: mieszanka odżywcza (pepton) 14,5 g; substancje wybiórcze 14 g; mieszanina </w:t>
      </w:r>
      <w:proofErr w:type="spellStart"/>
      <w:r w:rsidRPr="004B1400">
        <w:rPr>
          <w:rFonts w:ascii="Calibri" w:eastAsia="Calibri" w:hAnsi="Calibri" w:cs="Calibri"/>
        </w:rPr>
        <w:t>chromogenna</w:t>
      </w:r>
      <w:proofErr w:type="spellEnd"/>
      <w:r w:rsidRPr="004B1400">
        <w:rPr>
          <w:rFonts w:ascii="Calibri" w:eastAsia="Calibri" w:hAnsi="Calibri" w:cs="Calibri"/>
        </w:rPr>
        <w:t xml:space="preserve"> 2,3g; agar, 12.7 g</w:t>
      </w:r>
    </w:p>
    <w:p w14:paraId="75DA1AEB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kolor podłoża: mleczno-biały</w:t>
      </w:r>
    </w:p>
    <w:p w14:paraId="4B479963" w14:textId="77777777" w:rsidR="004B1400" w:rsidRPr="004B1400" w:rsidRDefault="004B1400" w:rsidP="004B1400">
      <w:pPr>
        <w:numPr>
          <w:ilvl w:val="0"/>
          <w:numId w:val="68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 xml:space="preserve">podłoże </w:t>
      </w:r>
      <w:proofErr w:type="spellStart"/>
      <w:r w:rsidRPr="004B1400">
        <w:rPr>
          <w:rFonts w:ascii="Calibri" w:eastAsia="Calibri" w:hAnsi="Calibri" w:cs="Calibri"/>
        </w:rPr>
        <w:t>zwalidowane</w:t>
      </w:r>
      <w:proofErr w:type="spellEnd"/>
      <w:r w:rsidRPr="004B1400">
        <w:rPr>
          <w:rFonts w:ascii="Calibri" w:eastAsia="Calibri" w:hAnsi="Calibri" w:cs="Calibri"/>
        </w:rPr>
        <w:t xml:space="preserve"> dla prób żywności w odniesieniu do metody referencyjnej EN ISO 6579 i certyfikowane przez NF </w:t>
      </w:r>
      <w:proofErr w:type="spellStart"/>
      <w:r w:rsidRPr="004B1400">
        <w:rPr>
          <w:rFonts w:ascii="Calibri" w:eastAsia="Calibri" w:hAnsi="Calibri" w:cs="Calibri"/>
        </w:rPr>
        <w:t>Validation</w:t>
      </w:r>
      <w:proofErr w:type="spellEnd"/>
      <w:r w:rsidRPr="004B1400">
        <w:rPr>
          <w:rFonts w:ascii="Calibri" w:eastAsia="Calibri" w:hAnsi="Calibri" w:cs="Calibri"/>
        </w:rPr>
        <w:t xml:space="preserve">, </w:t>
      </w:r>
      <w:proofErr w:type="spellStart"/>
      <w:r w:rsidRPr="004B1400">
        <w:rPr>
          <w:rFonts w:ascii="Calibri" w:eastAsia="Calibri" w:hAnsi="Calibri" w:cs="Calibri"/>
        </w:rPr>
        <w:t>Nordval</w:t>
      </w:r>
      <w:proofErr w:type="spellEnd"/>
      <w:r w:rsidRPr="004B1400">
        <w:rPr>
          <w:rFonts w:ascii="Calibri" w:eastAsia="Calibri" w:hAnsi="Calibri" w:cs="Calibri"/>
        </w:rPr>
        <w:t xml:space="preserve"> </w:t>
      </w:r>
      <w:proofErr w:type="spellStart"/>
      <w:r w:rsidRPr="004B1400">
        <w:rPr>
          <w:rFonts w:ascii="Calibri" w:eastAsia="Calibri" w:hAnsi="Calibri" w:cs="Calibri"/>
        </w:rPr>
        <w:t>Validation</w:t>
      </w:r>
      <w:proofErr w:type="spellEnd"/>
      <w:r w:rsidRPr="004B1400">
        <w:rPr>
          <w:rFonts w:ascii="Calibri" w:eastAsia="Calibri" w:hAnsi="Calibri" w:cs="Calibri"/>
        </w:rPr>
        <w:t xml:space="preserve"> lub inną uznaną, zewnętrzną międzynarodową jednostkę certyfikującą zgodnie z protokołem zawartym w normie EN ISO 16140</w:t>
      </w:r>
    </w:p>
    <w:p w14:paraId="14D45A16" w14:textId="77777777" w:rsidR="004B1400" w:rsidRPr="004B1400" w:rsidRDefault="004B1400" w:rsidP="004B1400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3190BFC8" w14:textId="77777777" w:rsidR="004B1400" w:rsidRPr="004B1400" w:rsidRDefault="004B1400" w:rsidP="004B1400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b/>
          <w:color w:val="000000"/>
        </w:rPr>
      </w:pPr>
      <w:r w:rsidRPr="004B1400">
        <w:rPr>
          <w:rFonts w:ascii="Calibri" w:eastAsia="Calibri" w:hAnsi="Calibri" w:cs="Calibri"/>
          <w:b/>
          <w:color w:val="000000"/>
        </w:rPr>
        <w:t>Materiały pomocnicze jednorazowego użytku:</w:t>
      </w:r>
    </w:p>
    <w:p w14:paraId="191A2191" w14:textId="77777777" w:rsidR="004B1400" w:rsidRPr="004B1400" w:rsidRDefault="004B1400" w:rsidP="004B1400">
      <w:pPr>
        <w:numPr>
          <w:ilvl w:val="0"/>
          <w:numId w:val="69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proofErr w:type="spellStart"/>
      <w:r w:rsidRPr="004B1400">
        <w:rPr>
          <w:rFonts w:ascii="Calibri" w:eastAsia="Calibri" w:hAnsi="Calibri" w:cs="Calibri"/>
          <w:b/>
          <w:bCs/>
        </w:rPr>
        <w:t>Wymazówka</w:t>
      </w:r>
      <w:proofErr w:type="spellEnd"/>
      <w:r w:rsidRPr="004B1400">
        <w:rPr>
          <w:rFonts w:ascii="Calibri" w:eastAsia="Calibri" w:hAnsi="Calibri" w:cs="Calibri"/>
          <w:b/>
          <w:bCs/>
        </w:rPr>
        <w:t xml:space="preserve"> sterylna, w fiolce z 10 ml buforu NPB – 540 szt. </w:t>
      </w:r>
    </w:p>
    <w:p w14:paraId="1A867D36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proofErr w:type="spellStart"/>
      <w:r w:rsidRPr="004B1400">
        <w:rPr>
          <w:rFonts w:ascii="Calibri" w:eastAsia="Calibri" w:hAnsi="Calibri" w:cs="Calibri"/>
        </w:rPr>
        <w:t>wymazówka</w:t>
      </w:r>
      <w:proofErr w:type="spellEnd"/>
      <w:r w:rsidRPr="004B1400">
        <w:rPr>
          <w:rFonts w:ascii="Calibri" w:eastAsia="Calibri" w:hAnsi="Calibri" w:cs="Calibri"/>
        </w:rPr>
        <w:t xml:space="preserve"> sterylna, flokowana, umieszczona w fiolce z buforem neutralizującym 10ml</w:t>
      </w:r>
    </w:p>
    <w:p w14:paraId="347E49AC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proofErr w:type="spellStart"/>
      <w:r w:rsidRPr="004B1400">
        <w:rPr>
          <w:rFonts w:ascii="Calibri" w:eastAsia="Calibri" w:hAnsi="Calibri" w:cs="Calibri"/>
        </w:rPr>
        <w:t>wymazówka</w:t>
      </w:r>
      <w:proofErr w:type="spellEnd"/>
      <w:r w:rsidRPr="004B1400">
        <w:rPr>
          <w:rFonts w:ascii="Calibri" w:eastAsia="Calibri" w:hAnsi="Calibri" w:cs="Calibri"/>
        </w:rPr>
        <w:t xml:space="preserve"> umocowana do nakrętki</w:t>
      </w:r>
    </w:p>
    <w:p w14:paraId="6BDD2924" w14:textId="77777777" w:rsidR="004B1400" w:rsidRPr="004B1400" w:rsidRDefault="004B1400" w:rsidP="004B1400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proofErr w:type="spellStart"/>
      <w:r w:rsidRPr="004B1400">
        <w:rPr>
          <w:rFonts w:ascii="Calibri" w:eastAsia="Calibri" w:hAnsi="Calibri" w:cs="Calibri"/>
        </w:rPr>
        <w:t>wymazówka</w:t>
      </w:r>
      <w:proofErr w:type="spellEnd"/>
      <w:r w:rsidRPr="004B1400">
        <w:rPr>
          <w:rFonts w:ascii="Calibri" w:eastAsia="Calibri" w:hAnsi="Calibri" w:cs="Calibri"/>
        </w:rPr>
        <w:t xml:space="preserve"> z punktem ,,</w:t>
      </w:r>
      <w:proofErr w:type="spellStart"/>
      <w:r w:rsidRPr="004B1400">
        <w:rPr>
          <w:rFonts w:ascii="Calibri" w:eastAsia="Calibri" w:hAnsi="Calibri" w:cs="Calibri"/>
        </w:rPr>
        <w:t>break</w:t>
      </w:r>
      <w:proofErr w:type="spellEnd"/>
      <w:r w:rsidRPr="004B1400">
        <w:rPr>
          <w:rFonts w:ascii="Calibri" w:eastAsia="Calibri" w:hAnsi="Calibri" w:cs="Calibri"/>
        </w:rPr>
        <w:t xml:space="preserve"> point” do łatwego oddzielania części wymazowej od patyczka mocującego</w:t>
      </w:r>
    </w:p>
    <w:p w14:paraId="1E804C3B" w14:textId="77777777" w:rsidR="004B1400" w:rsidRPr="004B1400" w:rsidRDefault="004B1400" w:rsidP="004B1400">
      <w:pPr>
        <w:spacing w:after="0" w:line="360" w:lineRule="auto"/>
        <w:ind w:left="360"/>
        <w:jc w:val="both"/>
        <w:rPr>
          <w:rFonts w:ascii="Calibri" w:eastAsia="Calibri" w:hAnsi="Calibri" w:cs="Calibri"/>
        </w:rPr>
      </w:pPr>
    </w:p>
    <w:p w14:paraId="3AF93A8B" w14:textId="77777777" w:rsidR="004B1400" w:rsidRPr="004B1400" w:rsidRDefault="004B1400" w:rsidP="004B1400">
      <w:pPr>
        <w:numPr>
          <w:ilvl w:val="0"/>
          <w:numId w:val="69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>Sucha ściereczka do wymazu w torebce typu kangur – 250 szt.</w:t>
      </w:r>
    </w:p>
    <w:p w14:paraId="0647A870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ściereczka do pobierania wymazów</w:t>
      </w:r>
    </w:p>
    <w:p w14:paraId="06157E2C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sterylna, w sterylnym worku z kieszonką na opis próby</w:t>
      </w:r>
    </w:p>
    <w:p w14:paraId="01961B48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z rękawiczkami jednorazowymi</w:t>
      </w:r>
    </w:p>
    <w:p w14:paraId="76A13C98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powierzchnia ścierki: około 750 cm2</w:t>
      </w:r>
    </w:p>
    <w:p w14:paraId="229E9034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lastRenderedPageBreak/>
        <w:t>zgodność zestawu z ISO 18593:2018, ISO 17604:2015-10 oraz EC 2073/2005</w:t>
      </w:r>
    </w:p>
    <w:p w14:paraId="380ED902" w14:textId="77777777" w:rsidR="004B1400" w:rsidRPr="004B1400" w:rsidRDefault="004B1400" w:rsidP="004B1400">
      <w:pPr>
        <w:spacing w:after="0" w:line="360" w:lineRule="auto"/>
        <w:ind w:left="360"/>
        <w:jc w:val="both"/>
        <w:rPr>
          <w:rFonts w:ascii="Calibri" w:eastAsia="Calibri" w:hAnsi="Calibri" w:cs="Calibri"/>
        </w:rPr>
      </w:pPr>
    </w:p>
    <w:p w14:paraId="2CA7EB75" w14:textId="77777777" w:rsidR="004B1400" w:rsidRPr="004B1400" w:rsidRDefault="004B1400" w:rsidP="004B1400">
      <w:pPr>
        <w:numPr>
          <w:ilvl w:val="0"/>
          <w:numId w:val="69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>Zestaw do pobierania wymazów mikrobiologicznych – 1.800 szt.</w:t>
      </w:r>
    </w:p>
    <w:p w14:paraId="4100B727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niebieska, wiskozowo-poliestrowa ściereczka o powierzchni około 750 cm2 zwilżona 10ml zbuforowanej wody peptonowej</w:t>
      </w:r>
    </w:p>
    <w:p w14:paraId="537F303A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para rękawiczek w zestawie</w:t>
      </w:r>
    </w:p>
    <w:p w14:paraId="516A11D6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wzmocniona torebka o wymiarach 180 x 280 mm do transportu</w:t>
      </w:r>
      <w:r w:rsidRPr="004B1400">
        <w:rPr>
          <w:rFonts w:ascii="Calibri" w:eastAsia="Calibri" w:hAnsi="Calibri" w:cs="Times New Roman"/>
        </w:rPr>
        <w:t xml:space="preserve"> </w:t>
      </w:r>
      <w:r w:rsidRPr="004B1400">
        <w:rPr>
          <w:rFonts w:ascii="Calibri" w:eastAsia="Calibri" w:hAnsi="Calibri" w:cs="Calibri"/>
        </w:rPr>
        <w:t>homogenizacji i inkubacji próby</w:t>
      </w:r>
    </w:p>
    <w:p w14:paraId="6D3B26BD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przechowywanie zestawów możliwe w temperaturze pokojowej</w:t>
      </w:r>
    </w:p>
    <w:p w14:paraId="114A255D" w14:textId="77777777" w:rsidR="004B1400" w:rsidRPr="004B1400" w:rsidRDefault="004B1400" w:rsidP="004B1400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64880845" w14:textId="77777777" w:rsidR="004B1400" w:rsidRPr="004B1400" w:rsidRDefault="004B1400" w:rsidP="004B1400">
      <w:pPr>
        <w:numPr>
          <w:ilvl w:val="0"/>
          <w:numId w:val="69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>Nakładki na buty do pobierania prób podeszwowych – 500 szt.</w:t>
      </w:r>
    </w:p>
    <w:p w14:paraId="51B234B4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zestaw do pobierania wymazów podeszwowych zawierający 2 pary nakładek na buty zwilżone buforem MRD</w:t>
      </w:r>
    </w:p>
    <w:p w14:paraId="3C9CBDF9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para rękawiczek</w:t>
      </w:r>
    </w:p>
    <w:p w14:paraId="6430D877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oddzielna wzmocniona torebka strunowa do transportu, homogenizacji i inkubacji próbki</w:t>
      </w:r>
    </w:p>
    <w:p w14:paraId="40ED335C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zestaw zgodny z wymogami EU 517/2011 i EC 2160/2003</w:t>
      </w:r>
    </w:p>
    <w:p w14:paraId="66D81A00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przechowywanie zestawu możliwe w temperaturze pokojowej</w:t>
      </w:r>
    </w:p>
    <w:p w14:paraId="0B6A5A14" w14:textId="77777777" w:rsidR="004B1400" w:rsidRPr="004B1400" w:rsidRDefault="004B1400" w:rsidP="004B1400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0A0E7036" w14:textId="77777777" w:rsidR="004B1400" w:rsidRPr="004B1400" w:rsidRDefault="004B1400" w:rsidP="004B1400">
      <w:pPr>
        <w:numPr>
          <w:ilvl w:val="0"/>
          <w:numId w:val="69"/>
        </w:numPr>
        <w:spacing w:after="0" w:line="360" w:lineRule="auto"/>
        <w:ind w:left="426" w:hanging="426"/>
        <w:contextualSpacing/>
        <w:jc w:val="both"/>
        <w:rPr>
          <w:rFonts w:ascii="Calibri" w:eastAsia="Calibri" w:hAnsi="Calibri" w:cs="Calibri"/>
          <w:b/>
          <w:bCs/>
        </w:rPr>
      </w:pPr>
      <w:r w:rsidRPr="004B1400">
        <w:rPr>
          <w:rFonts w:ascii="Calibri" w:eastAsia="Calibri" w:hAnsi="Calibri" w:cs="Calibri"/>
          <w:b/>
          <w:bCs/>
        </w:rPr>
        <w:t>Głaszczki L-kształtne – 3.000 opakowań (15 000 szt.)</w:t>
      </w:r>
    </w:p>
    <w:p w14:paraId="66F36AE8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głaszczki sterylne typu L sprężyste (transparentne)</w:t>
      </w:r>
    </w:p>
    <w:p w14:paraId="23593554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opakowanie zawiera 5 szt. w woreczku ze struną umożliwiającą zamknięcie</w:t>
      </w:r>
    </w:p>
    <w:p w14:paraId="305F9256" w14:textId="77777777" w:rsidR="004B1400" w:rsidRPr="004B1400" w:rsidRDefault="004B1400" w:rsidP="004B1400">
      <w:pPr>
        <w:numPr>
          <w:ilvl w:val="1"/>
          <w:numId w:val="69"/>
        </w:numPr>
        <w:spacing w:after="0" w:line="360" w:lineRule="auto"/>
        <w:contextualSpacing/>
        <w:jc w:val="both"/>
        <w:rPr>
          <w:rFonts w:ascii="Calibri" w:eastAsia="Calibri" w:hAnsi="Calibri" w:cs="Calibri"/>
        </w:rPr>
      </w:pPr>
      <w:r w:rsidRPr="004B1400">
        <w:rPr>
          <w:rFonts w:ascii="Calibri" w:eastAsia="Calibri" w:hAnsi="Calibri" w:cs="Calibri"/>
        </w:rPr>
        <w:t>sterylizowane radiacyjnie</w:t>
      </w:r>
    </w:p>
    <w:p w14:paraId="572BEAFD" w14:textId="77777777" w:rsidR="000C5C16" w:rsidRPr="000C5C16" w:rsidRDefault="000C5C16" w:rsidP="000C5C16">
      <w:pPr>
        <w:spacing w:after="0" w:line="360" w:lineRule="auto"/>
        <w:jc w:val="both"/>
        <w:rPr>
          <w:rFonts w:cstheme="minorHAnsi"/>
        </w:rPr>
      </w:pPr>
    </w:p>
    <w:p w14:paraId="268C4616" w14:textId="77777777" w:rsidR="000C5C16" w:rsidRPr="000C5C16" w:rsidRDefault="000C5C16" w:rsidP="000C5C16">
      <w:pPr>
        <w:spacing w:after="0" w:line="360" w:lineRule="auto"/>
        <w:jc w:val="both"/>
        <w:rPr>
          <w:rFonts w:cstheme="minorHAnsi"/>
        </w:rPr>
      </w:pPr>
    </w:p>
    <w:p w14:paraId="5950AA96" w14:textId="77777777" w:rsidR="000C5C16" w:rsidRPr="000C5C16" w:rsidRDefault="000C5C16" w:rsidP="000C5C16">
      <w:pPr>
        <w:spacing w:after="0" w:line="360" w:lineRule="auto"/>
        <w:jc w:val="both"/>
        <w:rPr>
          <w:rFonts w:cstheme="minorHAnsi"/>
        </w:rPr>
      </w:pPr>
    </w:p>
    <w:p w14:paraId="7DCD7DBB" w14:textId="77777777" w:rsidR="000C5C16" w:rsidRPr="000C5C16" w:rsidRDefault="000C5C16" w:rsidP="000C5C16">
      <w:pPr>
        <w:spacing w:after="0" w:line="360" w:lineRule="auto"/>
        <w:jc w:val="both"/>
        <w:rPr>
          <w:rFonts w:cstheme="minorHAnsi"/>
        </w:rPr>
      </w:pPr>
    </w:p>
    <w:p w14:paraId="21B53636" w14:textId="6CFAC2B3" w:rsidR="00452CD8" w:rsidRPr="00452CD8" w:rsidRDefault="00452CD8" w:rsidP="00452CD8">
      <w:pPr>
        <w:spacing w:after="0" w:line="360" w:lineRule="auto"/>
        <w:jc w:val="both"/>
        <w:rPr>
          <w:rFonts w:cstheme="minorHAnsi"/>
        </w:rPr>
      </w:pPr>
    </w:p>
    <w:sectPr w:rsidR="00452CD8" w:rsidRPr="00452CD8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1AB15" w14:textId="77777777" w:rsidR="00D94719" w:rsidRDefault="00D94719" w:rsidP="00EC6222">
      <w:pPr>
        <w:spacing w:after="0" w:line="240" w:lineRule="auto"/>
      </w:pPr>
      <w:r>
        <w:separator/>
      </w:r>
    </w:p>
  </w:endnote>
  <w:endnote w:type="continuationSeparator" w:id="0">
    <w:p w14:paraId="40BF0262" w14:textId="77777777" w:rsidR="00D94719" w:rsidRDefault="00D94719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9E418" w14:textId="77777777" w:rsidR="00D94719" w:rsidRDefault="00D94719" w:rsidP="00EC6222">
      <w:pPr>
        <w:spacing w:after="0" w:line="240" w:lineRule="auto"/>
      </w:pPr>
      <w:r>
        <w:separator/>
      </w:r>
    </w:p>
  </w:footnote>
  <w:footnote w:type="continuationSeparator" w:id="0">
    <w:p w14:paraId="48EE895A" w14:textId="77777777" w:rsidR="00D94719" w:rsidRDefault="00D94719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1B1D00"/>
    <w:multiLevelType w:val="hybridMultilevel"/>
    <w:tmpl w:val="A116303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E1205D2"/>
    <w:multiLevelType w:val="hybridMultilevel"/>
    <w:tmpl w:val="0B02B95A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9" w15:restartNumberingAfterBreak="0">
    <w:nsid w:val="11534B75"/>
    <w:multiLevelType w:val="hybridMultilevel"/>
    <w:tmpl w:val="0B586C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A3E3D"/>
    <w:multiLevelType w:val="hybridMultilevel"/>
    <w:tmpl w:val="CB56178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4A4F6F"/>
    <w:multiLevelType w:val="hybridMultilevel"/>
    <w:tmpl w:val="44AAAB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1E722F12"/>
    <w:multiLevelType w:val="hybridMultilevel"/>
    <w:tmpl w:val="D5781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635E8"/>
    <w:multiLevelType w:val="hybridMultilevel"/>
    <w:tmpl w:val="9E0250F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21460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2" w:tplc="FFFFFFFF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HAns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4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2E9D67CF"/>
    <w:multiLevelType w:val="hybridMultilevel"/>
    <w:tmpl w:val="5ED0B6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E365AC"/>
    <w:multiLevelType w:val="hybridMultilevel"/>
    <w:tmpl w:val="7C7035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845956"/>
    <w:multiLevelType w:val="hybridMultilevel"/>
    <w:tmpl w:val="B22CB38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62C7D8E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57B67F1"/>
    <w:multiLevelType w:val="hybridMultilevel"/>
    <w:tmpl w:val="AE16297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5E0A7C"/>
    <w:multiLevelType w:val="hybridMultilevel"/>
    <w:tmpl w:val="D6645EB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C2D74"/>
    <w:multiLevelType w:val="hybridMultilevel"/>
    <w:tmpl w:val="06FEA8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5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3525B0"/>
    <w:multiLevelType w:val="hybridMultilevel"/>
    <w:tmpl w:val="28080F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1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3" w15:restartNumberingAfterBreak="0">
    <w:nsid w:val="533C69C5"/>
    <w:multiLevelType w:val="hybridMultilevel"/>
    <w:tmpl w:val="F0E872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72119B"/>
    <w:multiLevelType w:val="hybridMultilevel"/>
    <w:tmpl w:val="1206D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D30B1"/>
    <w:multiLevelType w:val="hybridMultilevel"/>
    <w:tmpl w:val="6194DD12"/>
    <w:lvl w:ilvl="0" w:tplc="945C2CC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EF3FCB"/>
    <w:multiLevelType w:val="hybridMultilevel"/>
    <w:tmpl w:val="2A36CF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791C60"/>
    <w:multiLevelType w:val="hybridMultilevel"/>
    <w:tmpl w:val="9328E7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EA50FB"/>
    <w:multiLevelType w:val="hybridMultilevel"/>
    <w:tmpl w:val="CAEC71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C73237"/>
    <w:multiLevelType w:val="hybridMultilevel"/>
    <w:tmpl w:val="404022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92008C"/>
    <w:multiLevelType w:val="hybridMultilevel"/>
    <w:tmpl w:val="43629D1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9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BA420A6"/>
    <w:multiLevelType w:val="hybridMultilevel"/>
    <w:tmpl w:val="96EC4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E70515"/>
    <w:multiLevelType w:val="hybridMultilevel"/>
    <w:tmpl w:val="5DB0A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333581">
    <w:abstractNumId w:val="28"/>
  </w:num>
  <w:num w:numId="2" w16cid:durableId="1248660316">
    <w:abstractNumId w:val="44"/>
  </w:num>
  <w:num w:numId="3" w16cid:durableId="1910574591">
    <w:abstractNumId w:val="49"/>
  </w:num>
  <w:num w:numId="4" w16cid:durableId="2142117240">
    <w:abstractNumId w:val="53"/>
  </w:num>
  <w:num w:numId="5" w16cid:durableId="1716343839">
    <w:abstractNumId w:val="3"/>
  </w:num>
  <w:num w:numId="6" w16cid:durableId="1275483234">
    <w:abstractNumId w:val="59"/>
  </w:num>
  <w:num w:numId="7" w16cid:durableId="1209413215">
    <w:abstractNumId w:val="52"/>
  </w:num>
  <w:num w:numId="8" w16cid:durableId="1597981369">
    <w:abstractNumId w:val="58"/>
  </w:num>
  <w:num w:numId="9" w16cid:durableId="450784491">
    <w:abstractNumId w:val="29"/>
  </w:num>
  <w:num w:numId="10" w16cid:durableId="314722360">
    <w:abstractNumId w:val="23"/>
  </w:num>
  <w:num w:numId="11" w16cid:durableId="24790775">
    <w:abstractNumId w:val="15"/>
  </w:num>
  <w:num w:numId="12" w16cid:durableId="753668418">
    <w:abstractNumId w:val="42"/>
  </w:num>
  <w:num w:numId="13" w16cid:durableId="1239098604">
    <w:abstractNumId w:val="41"/>
  </w:num>
  <w:num w:numId="14" w16cid:durableId="310058984">
    <w:abstractNumId w:val="61"/>
  </w:num>
  <w:num w:numId="15" w16cid:durableId="785580802">
    <w:abstractNumId w:val="17"/>
  </w:num>
  <w:num w:numId="16" w16cid:durableId="886179672">
    <w:abstractNumId w:val="6"/>
  </w:num>
  <w:num w:numId="17" w16cid:durableId="199903994">
    <w:abstractNumId w:val="34"/>
  </w:num>
  <w:num w:numId="18" w16cid:durableId="1450078450">
    <w:abstractNumId w:val="22"/>
  </w:num>
  <w:num w:numId="19" w16cid:durableId="602147191">
    <w:abstractNumId w:val="30"/>
  </w:num>
  <w:num w:numId="20" w16cid:durableId="1930381060">
    <w:abstractNumId w:val="8"/>
  </w:num>
  <w:num w:numId="21" w16cid:durableId="1164777953">
    <w:abstractNumId w:val="19"/>
  </w:num>
  <w:num w:numId="22" w16cid:durableId="500439085">
    <w:abstractNumId w:val="40"/>
  </w:num>
  <w:num w:numId="23" w16cid:durableId="1297368844">
    <w:abstractNumId w:val="0"/>
  </w:num>
  <w:num w:numId="24" w16cid:durableId="2083218172">
    <w:abstractNumId w:val="18"/>
  </w:num>
  <w:num w:numId="25" w16cid:durableId="568079236">
    <w:abstractNumId w:val="24"/>
  </w:num>
  <w:num w:numId="26" w16cid:durableId="1011109324">
    <w:abstractNumId w:val="39"/>
  </w:num>
  <w:num w:numId="27" w16cid:durableId="450176259">
    <w:abstractNumId w:val="4"/>
  </w:num>
  <w:num w:numId="28" w16cid:durableId="1342395532">
    <w:abstractNumId w:val="10"/>
  </w:num>
  <w:num w:numId="29" w16cid:durableId="547765170">
    <w:abstractNumId w:val="11"/>
  </w:num>
  <w:num w:numId="30" w16cid:durableId="450171727">
    <w:abstractNumId w:val="1"/>
  </w:num>
  <w:num w:numId="31" w16cid:durableId="869418543">
    <w:abstractNumId w:val="14"/>
  </w:num>
  <w:num w:numId="32" w16cid:durableId="1974866986">
    <w:abstractNumId w:val="37"/>
  </w:num>
  <w:num w:numId="33" w16cid:durableId="1374961923">
    <w:abstractNumId w:val="5"/>
  </w:num>
  <w:num w:numId="34" w16cid:durableId="539974543">
    <w:abstractNumId w:val="47"/>
  </w:num>
  <w:num w:numId="35" w16cid:durableId="2100829449">
    <w:abstractNumId w:val="38"/>
  </w:num>
  <w:num w:numId="36" w16cid:durableId="353462682">
    <w:abstractNumId w:val="35"/>
  </w:num>
  <w:num w:numId="37" w16cid:durableId="528182228">
    <w:abstractNumId w:val="13"/>
  </w:num>
  <w:num w:numId="38" w16cid:durableId="1053966213">
    <w:abstractNumId w:val="27"/>
  </w:num>
  <w:num w:numId="39" w16cid:durableId="1214345026">
    <w:abstractNumId w:val="45"/>
  </w:num>
  <w:num w:numId="40" w16cid:durableId="748113424">
    <w:abstractNumId w:val="55"/>
  </w:num>
  <w:num w:numId="41" w16cid:durableId="1531988916">
    <w:abstractNumId w:val="32"/>
  </w:num>
  <w:num w:numId="42" w16cid:durableId="680815935">
    <w:abstractNumId w:val="31"/>
  </w:num>
  <w:num w:numId="43" w16cid:durableId="1950893960">
    <w:abstractNumId w:val="46"/>
  </w:num>
  <w:num w:numId="44" w16cid:durableId="505899792">
    <w:abstractNumId w:val="54"/>
  </w:num>
  <w:num w:numId="45" w16cid:durableId="2079202485">
    <w:abstractNumId w:val="36"/>
  </w:num>
  <w:num w:numId="46" w16cid:durableId="248582946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59968439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86141358">
    <w:abstractNumId w:val="20"/>
  </w:num>
  <w:num w:numId="49" w16cid:durableId="107821781">
    <w:abstractNumId w:val="26"/>
  </w:num>
  <w:num w:numId="50" w16cid:durableId="827598089">
    <w:abstractNumId w:val="7"/>
  </w:num>
  <w:num w:numId="51" w16cid:durableId="1035161017">
    <w:abstractNumId w:val="60"/>
  </w:num>
  <w:num w:numId="52" w16cid:durableId="2089889011">
    <w:abstractNumId w:val="12"/>
  </w:num>
  <w:num w:numId="53" w16cid:durableId="2002611613">
    <w:abstractNumId w:val="50"/>
  </w:num>
  <w:num w:numId="54" w16cid:durableId="1170828215">
    <w:abstractNumId w:val="16"/>
  </w:num>
  <w:num w:numId="55" w16cid:durableId="642348044">
    <w:abstractNumId w:val="48"/>
  </w:num>
  <w:num w:numId="56" w16cid:durableId="286357837">
    <w:abstractNumId w:val="33"/>
  </w:num>
  <w:num w:numId="57" w16cid:durableId="650450988">
    <w:abstractNumId w:val="9"/>
  </w:num>
  <w:num w:numId="58" w16cid:durableId="94518308">
    <w:abstractNumId w:val="57"/>
  </w:num>
  <w:num w:numId="59" w16cid:durableId="1775054004">
    <w:abstractNumId w:val="25"/>
  </w:num>
  <w:num w:numId="60" w16cid:durableId="1649095394">
    <w:abstractNumId w:val="43"/>
  </w:num>
  <w:num w:numId="61" w16cid:durableId="667559507">
    <w:abstractNumId w:val="2"/>
  </w:num>
  <w:num w:numId="62" w16cid:durableId="929511463">
    <w:abstractNumId w:val="56"/>
  </w:num>
  <w:num w:numId="63" w16cid:durableId="803232536">
    <w:abstractNumId w:val="51"/>
  </w:num>
  <w:num w:numId="64" w16cid:durableId="1113212181">
    <w:abstractNumId w:val="21"/>
  </w:num>
  <w:num w:numId="65" w16cid:durableId="1288465711">
    <w:abstractNumId w:val="2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0137589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017316457">
    <w:abstractNumId w:val="5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140074894">
    <w:abstractNumId w:val="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 w16cid:durableId="891113812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3544"/>
    <w:rsid w:val="00025FCB"/>
    <w:rsid w:val="00027DDD"/>
    <w:rsid w:val="00041F9A"/>
    <w:rsid w:val="00062E01"/>
    <w:rsid w:val="00064FE7"/>
    <w:rsid w:val="00085BFF"/>
    <w:rsid w:val="00092370"/>
    <w:rsid w:val="000B14D3"/>
    <w:rsid w:val="000C178D"/>
    <w:rsid w:val="000C27DD"/>
    <w:rsid w:val="000C5C16"/>
    <w:rsid w:val="000E48D2"/>
    <w:rsid w:val="001101AE"/>
    <w:rsid w:val="00161F5F"/>
    <w:rsid w:val="00167416"/>
    <w:rsid w:val="0019409C"/>
    <w:rsid w:val="001A00A3"/>
    <w:rsid w:val="001C3889"/>
    <w:rsid w:val="001D0201"/>
    <w:rsid w:val="00221BB6"/>
    <w:rsid w:val="002430DA"/>
    <w:rsid w:val="00244D82"/>
    <w:rsid w:val="002519DE"/>
    <w:rsid w:val="0026350D"/>
    <w:rsid w:val="00282CED"/>
    <w:rsid w:val="002A1164"/>
    <w:rsid w:val="002A3CD3"/>
    <w:rsid w:val="002C0978"/>
    <w:rsid w:val="002E02B2"/>
    <w:rsid w:val="002E0632"/>
    <w:rsid w:val="002E773A"/>
    <w:rsid w:val="002F36A1"/>
    <w:rsid w:val="00337F63"/>
    <w:rsid w:val="00341201"/>
    <w:rsid w:val="00346E12"/>
    <w:rsid w:val="0037737B"/>
    <w:rsid w:val="00392FB0"/>
    <w:rsid w:val="003B710D"/>
    <w:rsid w:val="003C26BD"/>
    <w:rsid w:val="003E3FBE"/>
    <w:rsid w:val="003E4CB3"/>
    <w:rsid w:val="003F4D18"/>
    <w:rsid w:val="00404CB5"/>
    <w:rsid w:val="00416DDE"/>
    <w:rsid w:val="00421956"/>
    <w:rsid w:val="00440892"/>
    <w:rsid w:val="004470D8"/>
    <w:rsid w:val="00452CD8"/>
    <w:rsid w:val="00463FCE"/>
    <w:rsid w:val="0049688B"/>
    <w:rsid w:val="004A598C"/>
    <w:rsid w:val="004B1400"/>
    <w:rsid w:val="004B4EEE"/>
    <w:rsid w:val="004B798C"/>
    <w:rsid w:val="004C1167"/>
    <w:rsid w:val="004D407C"/>
    <w:rsid w:val="004E5BE5"/>
    <w:rsid w:val="00513103"/>
    <w:rsid w:val="00540A2B"/>
    <w:rsid w:val="0054543F"/>
    <w:rsid w:val="00553ED6"/>
    <w:rsid w:val="00577510"/>
    <w:rsid w:val="005A16DE"/>
    <w:rsid w:val="005A37D3"/>
    <w:rsid w:val="005A3967"/>
    <w:rsid w:val="005A6B48"/>
    <w:rsid w:val="005B31BB"/>
    <w:rsid w:val="005C1CD2"/>
    <w:rsid w:val="005D7435"/>
    <w:rsid w:val="005F05B1"/>
    <w:rsid w:val="00603CFC"/>
    <w:rsid w:val="00653FE4"/>
    <w:rsid w:val="00670B80"/>
    <w:rsid w:val="006A5943"/>
    <w:rsid w:val="006A7259"/>
    <w:rsid w:val="006B5264"/>
    <w:rsid w:val="006B5608"/>
    <w:rsid w:val="006C336C"/>
    <w:rsid w:val="006D1DEF"/>
    <w:rsid w:val="00701649"/>
    <w:rsid w:val="00730DFF"/>
    <w:rsid w:val="007403C4"/>
    <w:rsid w:val="00747034"/>
    <w:rsid w:val="007612BF"/>
    <w:rsid w:val="0077347B"/>
    <w:rsid w:val="00782B2D"/>
    <w:rsid w:val="00782D17"/>
    <w:rsid w:val="007A5D7D"/>
    <w:rsid w:val="007B25AA"/>
    <w:rsid w:val="007D53B8"/>
    <w:rsid w:val="007E6FF0"/>
    <w:rsid w:val="007F70D1"/>
    <w:rsid w:val="00814F12"/>
    <w:rsid w:val="008155BA"/>
    <w:rsid w:val="008211ED"/>
    <w:rsid w:val="00843811"/>
    <w:rsid w:val="00847982"/>
    <w:rsid w:val="008565A6"/>
    <w:rsid w:val="00863DB9"/>
    <w:rsid w:val="00863FF1"/>
    <w:rsid w:val="00897641"/>
    <w:rsid w:val="008D3074"/>
    <w:rsid w:val="008D616F"/>
    <w:rsid w:val="008E4D7C"/>
    <w:rsid w:val="008F5028"/>
    <w:rsid w:val="00912A53"/>
    <w:rsid w:val="0092468A"/>
    <w:rsid w:val="00933A88"/>
    <w:rsid w:val="009458F9"/>
    <w:rsid w:val="00947CFA"/>
    <w:rsid w:val="00951F49"/>
    <w:rsid w:val="00961168"/>
    <w:rsid w:val="009647DD"/>
    <w:rsid w:val="009A20EC"/>
    <w:rsid w:val="009B0EE9"/>
    <w:rsid w:val="009B1299"/>
    <w:rsid w:val="009B60E7"/>
    <w:rsid w:val="00A00ACD"/>
    <w:rsid w:val="00A034D7"/>
    <w:rsid w:val="00A07925"/>
    <w:rsid w:val="00A105E5"/>
    <w:rsid w:val="00A137A8"/>
    <w:rsid w:val="00A138B1"/>
    <w:rsid w:val="00A17C6A"/>
    <w:rsid w:val="00A3048D"/>
    <w:rsid w:val="00A31C65"/>
    <w:rsid w:val="00A33EE7"/>
    <w:rsid w:val="00A424F3"/>
    <w:rsid w:val="00A53146"/>
    <w:rsid w:val="00A72E39"/>
    <w:rsid w:val="00A93E74"/>
    <w:rsid w:val="00A95C10"/>
    <w:rsid w:val="00AA03B2"/>
    <w:rsid w:val="00AB1FD9"/>
    <w:rsid w:val="00AC5692"/>
    <w:rsid w:val="00AD1282"/>
    <w:rsid w:val="00AF6F0D"/>
    <w:rsid w:val="00B22E57"/>
    <w:rsid w:val="00B4150C"/>
    <w:rsid w:val="00B454E9"/>
    <w:rsid w:val="00B7340E"/>
    <w:rsid w:val="00B87A7B"/>
    <w:rsid w:val="00BA67D3"/>
    <w:rsid w:val="00BC568A"/>
    <w:rsid w:val="00BF7DFA"/>
    <w:rsid w:val="00C23D11"/>
    <w:rsid w:val="00C85802"/>
    <w:rsid w:val="00CA158F"/>
    <w:rsid w:val="00CB149C"/>
    <w:rsid w:val="00CD1A0B"/>
    <w:rsid w:val="00CE1CBF"/>
    <w:rsid w:val="00CE25C9"/>
    <w:rsid w:val="00D04C8D"/>
    <w:rsid w:val="00D05DC4"/>
    <w:rsid w:val="00D077AD"/>
    <w:rsid w:val="00D14F27"/>
    <w:rsid w:val="00D2449C"/>
    <w:rsid w:val="00D452CB"/>
    <w:rsid w:val="00D743CE"/>
    <w:rsid w:val="00D83848"/>
    <w:rsid w:val="00D84DCC"/>
    <w:rsid w:val="00D94460"/>
    <w:rsid w:val="00D94719"/>
    <w:rsid w:val="00DC6988"/>
    <w:rsid w:val="00DC7C5A"/>
    <w:rsid w:val="00DD0B37"/>
    <w:rsid w:val="00DD228E"/>
    <w:rsid w:val="00DF53F3"/>
    <w:rsid w:val="00DF5DFD"/>
    <w:rsid w:val="00E02048"/>
    <w:rsid w:val="00E44AE1"/>
    <w:rsid w:val="00E47B31"/>
    <w:rsid w:val="00E56421"/>
    <w:rsid w:val="00E56542"/>
    <w:rsid w:val="00E6304B"/>
    <w:rsid w:val="00E65830"/>
    <w:rsid w:val="00E659CC"/>
    <w:rsid w:val="00E93912"/>
    <w:rsid w:val="00EC6222"/>
    <w:rsid w:val="00EC62EA"/>
    <w:rsid w:val="00EC72E7"/>
    <w:rsid w:val="00EE0C47"/>
    <w:rsid w:val="00EF28CE"/>
    <w:rsid w:val="00EF332D"/>
    <w:rsid w:val="00F03811"/>
    <w:rsid w:val="00F45630"/>
    <w:rsid w:val="00F60530"/>
    <w:rsid w:val="00F737F4"/>
    <w:rsid w:val="00F975C6"/>
    <w:rsid w:val="00FA15A0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48CA-7181-4A2C-8976-1951D091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16</cp:revision>
  <dcterms:created xsi:type="dcterms:W3CDTF">2026-02-05T10:37:00Z</dcterms:created>
  <dcterms:modified xsi:type="dcterms:W3CDTF">2026-03-20T11:54:00Z</dcterms:modified>
</cp:coreProperties>
</file>